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AD" w:rsidRDefault="005129AD" w:rsidP="005129AD">
      <w:pPr>
        <w:pStyle w:val="Nagwek1"/>
      </w:pPr>
      <w:bookmarkStart w:id="0" w:name="_GoBack"/>
      <w:bookmarkEnd w:id="0"/>
      <w:r>
        <w:t xml:space="preserve">Enron Scandal: The Fall of a Wall Street Darling </w:t>
      </w:r>
    </w:p>
    <w:p w:rsidR="005129AD" w:rsidRDefault="005129AD" w:rsidP="005129AD">
      <w:r>
        <w:rPr>
          <w:rStyle w:val="by-author"/>
        </w:rPr>
        <w:t xml:space="preserve">By </w:t>
      </w:r>
      <w:hyperlink r:id="rId6" w:history="1">
        <w:r>
          <w:rPr>
            <w:rStyle w:val="Hipercze"/>
          </w:rPr>
          <w:t>Investopedia</w:t>
        </w:r>
      </w:hyperlink>
      <w:r>
        <w:rPr>
          <w:rStyle w:val="by-author"/>
        </w:rPr>
        <w:t xml:space="preserve"> | Updated January 3, 2018 — 11:34 AM EST </w:t>
      </w:r>
    </w:p>
    <w:p w:rsidR="005129AD" w:rsidRPr="005129AD" w:rsidRDefault="005129AD" w:rsidP="005129AD">
      <w:pPr>
        <w:shd w:val="clear" w:color="auto" w:fill="FFFFFF"/>
        <w:rPr>
          <w:color w:val="000000"/>
        </w:rPr>
      </w:pPr>
    </w:p>
    <w:p w:rsidR="00024A32" w:rsidRDefault="005129AD" w:rsidP="00024A3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024A32" w:rsidRPr="00024A32">
        <w:rPr>
          <w:rFonts w:ascii="Times New Roman" w:eastAsia="Times New Roman" w:hAnsi="Times New Roman" w:cs="Times New Roman"/>
          <w:sz w:val="24"/>
          <w:szCs w:val="24"/>
          <w:lang w:eastAsia="en-GB"/>
        </w:rPr>
        <w:t xml:space="preserve">he story of </w:t>
      </w:r>
      <w:hyperlink r:id="rId7" w:history="1">
        <w:r w:rsidR="00024A32" w:rsidRPr="00024A32">
          <w:rPr>
            <w:rFonts w:ascii="Times New Roman" w:eastAsia="Times New Roman" w:hAnsi="Times New Roman" w:cs="Times New Roman"/>
            <w:color w:val="0000FF"/>
            <w:sz w:val="24"/>
            <w:szCs w:val="24"/>
            <w:u w:val="single"/>
            <w:lang w:eastAsia="en-GB"/>
          </w:rPr>
          <w:t>Enron</w:t>
        </w:r>
      </w:hyperlink>
      <w:r w:rsidR="00024A32" w:rsidRPr="00024A32">
        <w:rPr>
          <w:rFonts w:ascii="Times New Roman" w:eastAsia="Times New Roman" w:hAnsi="Times New Roman" w:cs="Times New Roman"/>
          <w:sz w:val="24"/>
          <w:szCs w:val="24"/>
          <w:lang w:eastAsia="en-GB"/>
        </w:rPr>
        <w:t xml:space="preserve"> Corp. is the story of a company that reached dramatic heights, only to face a dizzying fall. Its collapse affected thousands of employees and shook </w:t>
      </w:r>
      <w:hyperlink r:id="rId8" w:history="1">
        <w:r w:rsidR="00024A32" w:rsidRPr="00024A32">
          <w:rPr>
            <w:rFonts w:ascii="Times New Roman" w:eastAsia="Times New Roman" w:hAnsi="Times New Roman" w:cs="Times New Roman"/>
            <w:color w:val="0000FF"/>
            <w:sz w:val="24"/>
            <w:szCs w:val="24"/>
            <w:u w:val="single"/>
            <w:lang w:eastAsia="en-GB"/>
          </w:rPr>
          <w:t>Wall Stree</w:t>
        </w:r>
      </w:hyperlink>
      <w:r w:rsidR="00024A32" w:rsidRPr="00024A32">
        <w:rPr>
          <w:rFonts w:ascii="Times New Roman" w:eastAsia="Times New Roman" w:hAnsi="Times New Roman" w:cs="Times New Roman"/>
          <w:sz w:val="24"/>
          <w:szCs w:val="24"/>
          <w:lang w:eastAsia="en-GB"/>
        </w:rPr>
        <w:t xml:space="preserve">t to its core. At Enron's peak, its shares were worth $90.75; when it declared </w:t>
      </w:r>
      <w:hyperlink r:id="rId9" w:history="1">
        <w:r w:rsidR="00024A32" w:rsidRPr="00024A32">
          <w:rPr>
            <w:rFonts w:ascii="Times New Roman" w:eastAsia="Times New Roman" w:hAnsi="Times New Roman" w:cs="Times New Roman"/>
            <w:color w:val="0000FF"/>
            <w:sz w:val="24"/>
            <w:szCs w:val="24"/>
            <w:u w:val="single"/>
            <w:lang w:eastAsia="en-GB"/>
          </w:rPr>
          <w:t>bankruptcy</w:t>
        </w:r>
      </w:hyperlink>
      <w:r w:rsidR="00024A32" w:rsidRPr="00024A32">
        <w:rPr>
          <w:rFonts w:ascii="Times New Roman" w:eastAsia="Times New Roman" w:hAnsi="Times New Roman" w:cs="Times New Roman"/>
          <w:sz w:val="24"/>
          <w:szCs w:val="24"/>
          <w:lang w:eastAsia="en-GB"/>
        </w:rPr>
        <w:t xml:space="preserve"> on December 2, 2001, they were trading at $0.26. To this day, many wonder how such a powerful </w:t>
      </w:r>
      <w:hyperlink r:id="rId10" w:history="1">
        <w:r w:rsidR="00024A32" w:rsidRPr="00024A32">
          <w:rPr>
            <w:rFonts w:ascii="Times New Roman" w:eastAsia="Times New Roman" w:hAnsi="Times New Roman" w:cs="Times New Roman"/>
            <w:color w:val="0000FF"/>
            <w:sz w:val="24"/>
            <w:szCs w:val="24"/>
            <w:u w:val="single"/>
            <w:lang w:eastAsia="en-GB"/>
          </w:rPr>
          <w:t>business</w:t>
        </w:r>
      </w:hyperlink>
      <w:r w:rsidR="00024A32" w:rsidRPr="00024A32">
        <w:rPr>
          <w:rFonts w:ascii="Times New Roman" w:eastAsia="Times New Roman" w:hAnsi="Times New Roman" w:cs="Times New Roman"/>
          <w:sz w:val="24"/>
          <w:szCs w:val="24"/>
          <w:lang w:eastAsia="en-GB"/>
        </w:rPr>
        <w:t>, at the time one of the largest companies in the U.S,  disintegrated almost overnight and how it managed to fool the regulators with fake holdings and off-the-books accounting for so long. </w:t>
      </w:r>
    </w:p>
    <w:p w:rsidR="00702F2C" w:rsidRPr="00702F2C" w:rsidRDefault="00702F2C" w:rsidP="00702F2C">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do you understand by fake holdings and off –the- books accounting</w:t>
      </w:r>
    </w:p>
    <w:p w:rsidR="00024A32" w:rsidRPr="00024A32" w:rsidRDefault="00024A32" w:rsidP="00024A3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24A32">
        <w:rPr>
          <w:rFonts w:ascii="Times New Roman" w:eastAsia="Times New Roman" w:hAnsi="Times New Roman" w:cs="Times New Roman"/>
          <w:b/>
          <w:bCs/>
          <w:sz w:val="36"/>
          <w:szCs w:val="36"/>
          <w:lang w:eastAsia="en-GB"/>
        </w:rPr>
        <w:t>"America's Most Innovative Company"</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Enron was formed in 1985, following a merger between Houston Natural Gas Co. and Omaha-based </w:t>
      </w:r>
      <w:proofErr w:type="spellStart"/>
      <w:r w:rsidRPr="00024A32">
        <w:rPr>
          <w:rFonts w:ascii="Times New Roman" w:eastAsia="Times New Roman" w:hAnsi="Times New Roman" w:cs="Times New Roman"/>
          <w:sz w:val="24"/>
          <w:szCs w:val="24"/>
          <w:lang w:eastAsia="en-GB"/>
        </w:rPr>
        <w:t>InterNorth</w:t>
      </w:r>
      <w:proofErr w:type="spellEnd"/>
      <w:r w:rsidRPr="00024A32">
        <w:rPr>
          <w:rFonts w:ascii="Times New Roman" w:eastAsia="Times New Roman" w:hAnsi="Times New Roman" w:cs="Times New Roman"/>
          <w:sz w:val="24"/>
          <w:szCs w:val="24"/>
          <w:lang w:eastAsia="en-GB"/>
        </w:rPr>
        <w:t xml:space="preserve"> Inc. Following the merger, Kenneth Lay, who had been the </w:t>
      </w:r>
      <w:hyperlink r:id="rId11" w:history="1">
        <w:r w:rsidRPr="00024A32">
          <w:rPr>
            <w:rFonts w:ascii="Times New Roman" w:eastAsia="Times New Roman" w:hAnsi="Times New Roman" w:cs="Times New Roman"/>
            <w:color w:val="0000FF"/>
            <w:sz w:val="24"/>
            <w:szCs w:val="24"/>
            <w:u w:val="single"/>
            <w:lang w:eastAsia="en-GB"/>
          </w:rPr>
          <w:t>chief executive officer</w:t>
        </w:r>
      </w:hyperlink>
      <w:r w:rsidRPr="00024A32">
        <w:rPr>
          <w:rFonts w:ascii="Times New Roman" w:eastAsia="Times New Roman" w:hAnsi="Times New Roman" w:cs="Times New Roman"/>
          <w:sz w:val="24"/>
          <w:szCs w:val="24"/>
          <w:lang w:eastAsia="en-GB"/>
        </w:rPr>
        <w:t xml:space="preserve"> (CEO) of Houston Natural Gas, became Enron's CEO and chairman and quickly rebranded Enron into an energy trader and supplier. </w:t>
      </w:r>
      <w:hyperlink r:id="rId12" w:history="1">
        <w:r w:rsidRPr="00024A32">
          <w:rPr>
            <w:rFonts w:ascii="Times New Roman" w:eastAsia="Times New Roman" w:hAnsi="Times New Roman" w:cs="Times New Roman"/>
            <w:color w:val="0000FF"/>
            <w:sz w:val="24"/>
            <w:szCs w:val="24"/>
            <w:u w:val="single"/>
            <w:lang w:eastAsia="en-GB"/>
          </w:rPr>
          <w:t>Deregulation</w:t>
        </w:r>
      </w:hyperlink>
      <w:r w:rsidRPr="00024A32">
        <w:rPr>
          <w:rFonts w:ascii="Times New Roman" w:eastAsia="Times New Roman" w:hAnsi="Times New Roman" w:cs="Times New Roman"/>
          <w:sz w:val="24"/>
          <w:szCs w:val="24"/>
          <w:lang w:eastAsia="en-GB"/>
        </w:rPr>
        <w:t xml:space="preserve"> of the energy markets allowed companies to place bets on future prices, and Enron was poised to take advantage.</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The era's regulatory environment also allowed Enron to flourish. At the end of the 1990s, the </w:t>
      </w:r>
      <w:hyperlink r:id="rId13" w:history="1">
        <w:r w:rsidRPr="00024A32">
          <w:rPr>
            <w:rFonts w:ascii="Times New Roman" w:eastAsia="Times New Roman" w:hAnsi="Times New Roman" w:cs="Times New Roman"/>
            <w:color w:val="0000FF"/>
            <w:sz w:val="24"/>
            <w:szCs w:val="24"/>
            <w:u w:val="single"/>
            <w:lang w:eastAsia="en-GB"/>
          </w:rPr>
          <w:t>dot-com bubble</w:t>
        </w:r>
      </w:hyperlink>
      <w:r w:rsidRPr="00024A32">
        <w:rPr>
          <w:rFonts w:ascii="Times New Roman" w:eastAsia="Times New Roman" w:hAnsi="Times New Roman" w:cs="Times New Roman"/>
          <w:sz w:val="24"/>
          <w:szCs w:val="24"/>
          <w:lang w:eastAsia="en-GB"/>
        </w:rPr>
        <w:t xml:space="preserve"> was in full swing, and the </w:t>
      </w:r>
      <w:hyperlink r:id="rId14" w:history="1">
        <w:r w:rsidRPr="00024A32">
          <w:rPr>
            <w:rFonts w:ascii="Times New Roman" w:eastAsia="Times New Roman" w:hAnsi="Times New Roman" w:cs="Times New Roman"/>
            <w:color w:val="0000FF"/>
            <w:sz w:val="24"/>
            <w:szCs w:val="24"/>
            <w:u w:val="single"/>
            <w:lang w:eastAsia="en-GB"/>
          </w:rPr>
          <w:t>Nasdaq</w:t>
        </w:r>
      </w:hyperlink>
      <w:r w:rsidRPr="00024A32">
        <w:rPr>
          <w:rFonts w:ascii="Times New Roman" w:eastAsia="Times New Roman" w:hAnsi="Times New Roman" w:cs="Times New Roman"/>
          <w:sz w:val="24"/>
          <w:szCs w:val="24"/>
          <w:lang w:eastAsia="en-GB"/>
        </w:rPr>
        <w:t xml:space="preserve"> hit 5,000. Revolutionary internet </w:t>
      </w:r>
      <w:hyperlink r:id="rId15" w:history="1">
        <w:r w:rsidRPr="00024A32">
          <w:rPr>
            <w:rFonts w:ascii="Times New Roman" w:eastAsia="Times New Roman" w:hAnsi="Times New Roman" w:cs="Times New Roman"/>
            <w:color w:val="0000FF"/>
            <w:sz w:val="24"/>
            <w:szCs w:val="24"/>
            <w:u w:val="single"/>
            <w:lang w:eastAsia="en-GB"/>
          </w:rPr>
          <w:t>stocks</w:t>
        </w:r>
      </w:hyperlink>
      <w:r w:rsidRPr="00024A32">
        <w:rPr>
          <w:rFonts w:ascii="Times New Roman" w:eastAsia="Times New Roman" w:hAnsi="Times New Roman" w:cs="Times New Roman"/>
          <w:sz w:val="24"/>
          <w:szCs w:val="24"/>
          <w:lang w:eastAsia="en-GB"/>
        </w:rPr>
        <w:t xml:space="preserve"> were being valued at preposterous levels and consequently, most investors and regulators simply accepted spiking share prices as the new normal.</w:t>
      </w:r>
    </w:p>
    <w:p w:rsidR="00024A32" w:rsidRPr="00024A32" w:rsidRDefault="00024A32" w:rsidP="00024A32">
      <w:pPr>
        <w:pStyle w:val="NormalnyWeb"/>
      </w:pPr>
      <w:r w:rsidRPr="00024A32">
        <w:rPr>
          <w:color w:val="000000"/>
        </w:rPr>
        <w:br/>
      </w:r>
      <w:r w:rsidR="003C32CA">
        <w:t>E</w:t>
      </w:r>
      <w:r w:rsidRPr="00024A32">
        <w:t xml:space="preserve">nron participated by creating Enron Online (EOL) in October 1999, an electronic </w:t>
      </w:r>
      <w:hyperlink r:id="rId16" w:history="1">
        <w:r w:rsidRPr="00024A32">
          <w:rPr>
            <w:color w:val="0000FF"/>
            <w:u w:val="single"/>
          </w:rPr>
          <w:t>trading</w:t>
        </w:r>
      </w:hyperlink>
      <w:r w:rsidRPr="00024A32">
        <w:t xml:space="preserve"> website that focused on commodities. Enron was the </w:t>
      </w:r>
      <w:hyperlink r:id="rId17" w:history="1">
        <w:r w:rsidRPr="00024A32">
          <w:rPr>
            <w:color w:val="0000FF"/>
            <w:u w:val="single"/>
          </w:rPr>
          <w:t>counterparty</w:t>
        </w:r>
      </w:hyperlink>
      <w:r w:rsidRPr="00024A32">
        <w:t xml:space="preserve"> to every transaction on EOL; it was either the buyer or the </w:t>
      </w:r>
      <w:hyperlink r:id="rId18" w:history="1">
        <w:r w:rsidRPr="00024A32">
          <w:rPr>
            <w:color w:val="0000FF"/>
            <w:u w:val="single"/>
          </w:rPr>
          <w:t>seller.</w:t>
        </w:r>
      </w:hyperlink>
      <w:r w:rsidRPr="00024A32">
        <w:t xml:space="preserve"> To entice participants and trading partners, Enron offered up its reputation, credit, and expertise in the energy sector. Enron was praised for its expansions and ambitious projects, and named "America's Most Innovative Company" by</w:t>
      </w:r>
      <w:r w:rsidRPr="00024A32">
        <w:rPr>
          <w:i/>
          <w:iCs/>
        </w:rPr>
        <w:t> Fortune</w:t>
      </w:r>
      <w:r w:rsidRPr="00024A32">
        <w:t> for six consecutive years between 1996 and 2001.</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By mid-2000, EOL was executing nearly $350 billion in trades. When the dot-com bubble began to burst, Enron decided to build high-speed broadband telecom networks. Hundreds of millions of dollars were spent on this project, but the company ended up realizing almost no </w:t>
      </w:r>
      <w:hyperlink r:id="rId19" w:history="1">
        <w:r w:rsidRPr="00024A32">
          <w:rPr>
            <w:rFonts w:ascii="Times New Roman" w:eastAsia="Times New Roman" w:hAnsi="Times New Roman" w:cs="Times New Roman"/>
            <w:color w:val="0000FF"/>
            <w:sz w:val="24"/>
            <w:szCs w:val="24"/>
            <w:u w:val="single"/>
            <w:lang w:eastAsia="en-GB"/>
          </w:rPr>
          <w:t>return</w:t>
        </w:r>
      </w:hyperlink>
      <w:r w:rsidRPr="00024A32">
        <w:rPr>
          <w:rFonts w:ascii="Times New Roman" w:eastAsia="Times New Roman" w:hAnsi="Times New Roman" w:cs="Times New Roman"/>
          <w:sz w:val="24"/>
          <w:szCs w:val="24"/>
          <w:lang w:eastAsia="en-GB"/>
        </w:rPr>
        <w:t>.</w:t>
      </w:r>
    </w:p>
    <w:p w:rsid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When the </w:t>
      </w:r>
      <w:hyperlink r:id="rId20" w:history="1">
        <w:r w:rsidRPr="00024A32">
          <w:rPr>
            <w:rFonts w:ascii="Times New Roman" w:eastAsia="Times New Roman" w:hAnsi="Times New Roman" w:cs="Times New Roman"/>
            <w:color w:val="0000FF"/>
            <w:sz w:val="24"/>
            <w:szCs w:val="24"/>
            <w:u w:val="single"/>
            <w:lang w:eastAsia="en-GB"/>
          </w:rPr>
          <w:t>recession</w:t>
        </w:r>
      </w:hyperlink>
      <w:r w:rsidRPr="00024A32">
        <w:rPr>
          <w:rFonts w:ascii="Times New Roman" w:eastAsia="Times New Roman" w:hAnsi="Times New Roman" w:cs="Times New Roman"/>
          <w:sz w:val="24"/>
          <w:szCs w:val="24"/>
          <w:lang w:eastAsia="en-GB"/>
        </w:rPr>
        <w:t xml:space="preserve"> hit in 2000, Enron had significant exposure to the most volatile parts of the market. As a result, many trusting </w:t>
      </w:r>
      <w:hyperlink r:id="rId21" w:history="1">
        <w:r w:rsidRPr="00024A32">
          <w:rPr>
            <w:rFonts w:ascii="Times New Roman" w:eastAsia="Times New Roman" w:hAnsi="Times New Roman" w:cs="Times New Roman"/>
            <w:color w:val="0000FF"/>
            <w:sz w:val="24"/>
            <w:szCs w:val="24"/>
            <w:u w:val="single"/>
            <w:lang w:eastAsia="en-GB"/>
          </w:rPr>
          <w:t>investors</w:t>
        </w:r>
      </w:hyperlink>
      <w:r w:rsidRPr="00024A32">
        <w:rPr>
          <w:rFonts w:ascii="Times New Roman" w:eastAsia="Times New Roman" w:hAnsi="Times New Roman" w:cs="Times New Roman"/>
          <w:sz w:val="24"/>
          <w:szCs w:val="24"/>
          <w:lang w:eastAsia="en-GB"/>
        </w:rPr>
        <w:t xml:space="preserve"> and </w:t>
      </w:r>
      <w:hyperlink r:id="rId22" w:history="1">
        <w:r w:rsidRPr="00024A32">
          <w:rPr>
            <w:rFonts w:ascii="Times New Roman" w:eastAsia="Times New Roman" w:hAnsi="Times New Roman" w:cs="Times New Roman"/>
            <w:color w:val="0000FF"/>
            <w:sz w:val="24"/>
            <w:szCs w:val="24"/>
            <w:u w:val="single"/>
            <w:lang w:eastAsia="en-GB"/>
          </w:rPr>
          <w:t>creditors</w:t>
        </w:r>
      </w:hyperlink>
      <w:r w:rsidRPr="00024A32">
        <w:rPr>
          <w:rFonts w:ascii="Times New Roman" w:eastAsia="Times New Roman" w:hAnsi="Times New Roman" w:cs="Times New Roman"/>
          <w:sz w:val="24"/>
          <w:szCs w:val="24"/>
          <w:lang w:eastAsia="en-GB"/>
        </w:rPr>
        <w:t xml:space="preserve"> found themselves on the losing end of a vanishing </w:t>
      </w:r>
      <w:hyperlink r:id="rId23" w:history="1">
        <w:r w:rsidRPr="00024A32">
          <w:rPr>
            <w:rFonts w:ascii="Times New Roman" w:eastAsia="Times New Roman" w:hAnsi="Times New Roman" w:cs="Times New Roman"/>
            <w:color w:val="0000FF"/>
            <w:sz w:val="24"/>
            <w:szCs w:val="24"/>
            <w:u w:val="single"/>
            <w:lang w:eastAsia="en-GB"/>
          </w:rPr>
          <w:t>market cap</w:t>
        </w:r>
      </w:hyperlink>
      <w:r w:rsidRPr="00024A32">
        <w:rPr>
          <w:rFonts w:ascii="Times New Roman" w:eastAsia="Times New Roman" w:hAnsi="Times New Roman" w:cs="Times New Roman"/>
          <w:sz w:val="24"/>
          <w:szCs w:val="24"/>
          <w:lang w:eastAsia="en-GB"/>
        </w:rPr>
        <w:t>.</w:t>
      </w:r>
    </w:p>
    <w:p w:rsidR="00702F2C" w:rsidRDefault="00702F2C" w:rsidP="00702F2C">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was the main business Enron was involved in?</w:t>
      </w:r>
    </w:p>
    <w:p w:rsidR="00702F2C" w:rsidRDefault="00702F2C" w:rsidP="00702F2C">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does deregulation mean? Do you think deregulation should be used in all areas of economy? Why yes or no?</w:t>
      </w:r>
    </w:p>
    <w:p w:rsidR="003C32CA" w:rsidRPr="00702F2C" w:rsidRDefault="003C32CA" w:rsidP="00702F2C">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What does dot com bubble mean? How did Enron benefit from this </w:t>
      </w:r>
      <w:proofErr w:type="spellStart"/>
      <w:r>
        <w:rPr>
          <w:rFonts w:ascii="Times New Roman" w:eastAsia="Times New Roman" w:hAnsi="Times New Roman" w:cs="Times New Roman"/>
          <w:sz w:val="24"/>
          <w:szCs w:val="24"/>
          <w:lang w:eastAsia="en-GB"/>
        </w:rPr>
        <w:t>situation?</w:t>
      </w:r>
      <w:r w:rsidR="00AF17B2">
        <w:rPr>
          <w:rFonts w:ascii="Times New Roman" w:eastAsia="Times New Roman" w:hAnsi="Times New Roman" w:cs="Times New Roman"/>
          <w:sz w:val="24"/>
          <w:szCs w:val="24"/>
          <w:lang w:eastAsia="en-GB"/>
        </w:rPr>
        <w:t>What</w:t>
      </w:r>
      <w:proofErr w:type="spellEnd"/>
      <w:r w:rsidR="00AF17B2">
        <w:rPr>
          <w:rFonts w:ascii="Times New Roman" w:eastAsia="Times New Roman" w:hAnsi="Times New Roman" w:cs="Times New Roman"/>
          <w:sz w:val="24"/>
          <w:szCs w:val="24"/>
          <w:lang w:eastAsia="en-GB"/>
        </w:rPr>
        <w:t xml:space="preserve"> was the final outcome for Enron</w:t>
      </w:r>
    </w:p>
    <w:p w:rsidR="00024A32" w:rsidRPr="00024A32" w:rsidRDefault="00024A32" w:rsidP="00024A3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24A32">
        <w:rPr>
          <w:rFonts w:ascii="Times New Roman" w:eastAsia="Times New Roman" w:hAnsi="Times New Roman" w:cs="Times New Roman"/>
          <w:b/>
          <w:bCs/>
          <w:sz w:val="36"/>
          <w:szCs w:val="36"/>
          <w:lang w:eastAsia="en-GB"/>
        </w:rPr>
        <w:t>The Collapse of a Wall Street Darling</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By the fall of 2000, Enron was starting to crumble under its own weight. CEO Jeffrey Skilling had a way of hiding the financial losses of the trading business and other operations of the company; it was called </w:t>
      </w:r>
      <w:hyperlink r:id="rId24" w:history="1">
        <w:r w:rsidRPr="00024A32">
          <w:rPr>
            <w:rFonts w:ascii="Times New Roman" w:eastAsia="Times New Roman" w:hAnsi="Times New Roman" w:cs="Times New Roman"/>
            <w:color w:val="0000FF"/>
            <w:sz w:val="24"/>
            <w:szCs w:val="24"/>
            <w:u w:val="single"/>
            <w:lang w:eastAsia="en-GB"/>
          </w:rPr>
          <w:t>mark-to-market accounting</w:t>
        </w:r>
      </w:hyperlink>
      <w:r w:rsidRPr="00024A32">
        <w:rPr>
          <w:rFonts w:ascii="Times New Roman" w:eastAsia="Times New Roman" w:hAnsi="Times New Roman" w:cs="Times New Roman"/>
          <w:sz w:val="24"/>
          <w:szCs w:val="24"/>
          <w:lang w:eastAsia="en-GB"/>
        </w:rPr>
        <w:t xml:space="preserve">. This is a technique used where you measure the value of a </w:t>
      </w:r>
      <w:hyperlink r:id="rId25" w:history="1">
        <w:r w:rsidRPr="00024A32">
          <w:rPr>
            <w:rFonts w:ascii="Times New Roman" w:eastAsia="Times New Roman" w:hAnsi="Times New Roman" w:cs="Times New Roman"/>
            <w:color w:val="0000FF"/>
            <w:sz w:val="24"/>
            <w:szCs w:val="24"/>
            <w:u w:val="single"/>
            <w:lang w:eastAsia="en-GB"/>
          </w:rPr>
          <w:t>security</w:t>
        </w:r>
      </w:hyperlink>
      <w:r w:rsidRPr="00024A32">
        <w:rPr>
          <w:rFonts w:ascii="Times New Roman" w:eastAsia="Times New Roman" w:hAnsi="Times New Roman" w:cs="Times New Roman"/>
          <w:sz w:val="24"/>
          <w:szCs w:val="24"/>
          <w:lang w:eastAsia="en-GB"/>
        </w:rPr>
        <w:t xml:space="preserve"> based on its </w:t>
      </w:r>
      <w:hyperlink r:id="rId26" w:history="1">
        <w:r w:rsidRPr="00024A32">
          <w:rPr>
            <w:rFonts w:ascii="Times New Roman" w:eastAsia="Times New Roman" w:hAnsi="Times New Roman" w:cs="Times New Roman"/>
            <w:color w:val="0000FF"/>
            <w:sz w:val="24"/>
            <w:szCs w:val="24"/>
            <w:u w:val="single"/>
            <w:lang w:eastAsia="en-GB"/>
          </w:rPr>
          <w:t>current market value</w:t>
        </w:r>
      </w:hyperlink>
      <w:r w:rsidRPr="00024A32">
        <w:rPr>
          <w:rFonts w:ascii="Times New Roman" w:eastAsia="Times New Roman" w:hAnsi="Times New Roman" w:cs="Times New Roman"/>
          <w:sz w:val="24"/>
          <w:szCs w:val="24"/>
          <w:lang w:eastAsia="en-GB"/>
        </w:rPr>
        <w:t xml:space="preserve">, instead of its </w:t>
      </w:r>
      <w:hyperlink r:id="rId27" w:history="1">
        <w:r w:rsidRPr="00024A32">
          <w:rPr>
            <w:rFonts w:ascii="Times New Roman" w:eastAsia="Times New Roman" w:hAnsi="Times New Roman" w:cs="Times New Roman"/>
            <w:color w:val="0000FF"/>
            <w:sz w:val="24"/>
            <w:szCs w:val="24"/>
            <w:u w:val="single"/>
            <w:lang w:eastAsia="en-GB"/>
          </w:rPr>
          <w:t>book value</w:t>
        </w:r>
      </w:hyperlink>
      <w:r w:rsidRPr="00024A32">
        <w:rPr>
          <w:rFonts w:ascii="Times New Roman" w:eastAsia="Times New Roman" w:hAnsi="Times New Roman" w:cs="Times New Roman"/>
          <w:sz w:val="24"/>
          <w:szCs w:val="24"/>
          <w:lang w:eastAsia="en-GB"/>
        </w:rPr>
        <w:t>. This can work well when trading securities, but it can be disastrous for actual businesses.</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In Enron's case, the company would build an </w:t>
      </w:r>
      <w:hyperlink r:id="rId28" w:history="1">
        <w:r w:rsidRPr="00024A32">
          <w:rPr>
            <w:rFonts w:ascii="Times New Roman" w:eastAsia="Times New Roman" w:hAnsi="Times New Roman" w:cs="Times New Roman"/>
            <w:color w:val="0000FF"/>
            <w:sz w:val="24"/>
            <w:szCs w:val="24"/>
            <w:u w:val="single"/>
            <w:lang w:eastAsia="en-GB"/>
          </w:rPr>
          <w:t>asset,</w:t>
        </w:r>
      </w:hyperlink>
      <w:r w:rsidRPr="00024A32">
        <w:rPr>
          <w:rFonts w:ascii="Times New Roman" w:eastAsia="Times New Roman" w:hAnsi="Times New Roman" w:cs="Times New Roman"/>
          <w:sz w:val="24"/>
          <w:szCs w:val="24"/>
          <w:lang w:eastAsia="en-GB"/>
        </w:rPr>
        <w:t xml:space="preserve"> such as a power plant, and immediately claim the projected </w:t>
      </w:r>
      <w:hyperlink r:id="rId29" w:history="1">
        <w:r w:rsidRPr="00024A32">
          <w:rPr>
            <w:rFonts w:ascii="Times New Roman" w:eastAsia="Times New Roman" w:hAnsi="Times New Roman" w:cs="Times New Roman"/>
            <w:color w:val="0000FF"/>
            <w:sz w:val="24"/>
            <w:szCs w:val="24"/>
            <w:u w:val="single"/>
            <w:lang w:eastAsia="en-GB"/>
          </w:rPr>
          <w:t>profit</w:t>
        </w:r>
      </w:hyperlink>
      <w:r w:rsidRPr="00024A32">
        <w:rPr>
          <w:rFonts w:ascii="Times New Roman" w:eastAsia="Times New Roman" w:hAnsi="Times New Roman" w:cs="Times New Roman"/>
          <w:sz w:val="24"/>
          <w:szCs w:val="24"/>
          <w:lang w:eastAsia="en-GB"/>
        </w:rPr>
        <w:t xml:space="preserve"> on its books, even though it hadn't made one dime from it. If the </w:t>
      </w:r>
      <w:hyperlink r:id="rId30" w:history="1">
        <w:r w:rsidRPr="00024A32">
          <w:rPr>
            <w:rFonts w:ascii="Times New Roman" w:eastAsia="Times New Roman" w:hAnsi="Times New Roman" w:cs="Times New Roman"/>
            <w:color w:val="0000FF"/>
            <w:sz w:val="24"/>
            <w:szCs w:val="24"/>
            <w:u w:val="single"/>
            <w:lang w:eastAsia="en-GB"/>
          </w:rPr>
          <w:t>revenue</w:t>
        </w:r>
      </w:hyperlink>
      <w:r w:rsidRPr="00024A32">
        <w:rPr>
          <w:rFonts w:ascii="Times New Roman" w:eastAsia="Times New Roman" w:hAnsi="Times New Roman" w:cs="Times New Roman"/>
          <w:sz w:val="24"/>
          <w:szCs w:val="24"/>
          <w:lang w:eastAsia="en-GB"/>
        </w:rPr>
        <w:t xml:space="preserve"> from the power plant was less than the projected amount, instead of taking the loss, the company would then transfer the asset to an off-the-books corporation, where the loss would go unreported. This type of accounting enabled Enron to write off </w:t>
      </w:r>
      <w:proofErr w:type="spellStart"/>
      <w:r w:rsidRPr="00024A32">
        <w:rPr>
          <w:rFonts w:ascii="Times New Roman" w:eastAsia="Times New Roman" w:hAnsi="Times New Roman" w:cs="Times New Roman"/>
          <w:sz w:val="24"/>
          <w:szCs w:val="24"/>
          <w:lang w:eastAsia="en-GB"/>
        </w:rPr>
        <w:t>unnprofitable</w:t>
      </w:r>
      <w:proofErr w:type="spellEnd"/>
      <w:r w:rsidRPr="00024A32">
        <w:rPr>
          <w:rFonts w:ascii="Times New Roman" w:eastAsia="Times New Roman" w:hAnsi="Times New Roman" w:cs="Times New Roman"/>
          <w:sz w:val="24"/>
          <w:szCs w:val="24"/>
          <w:lang w:eastAsia="en-GB"/>
        </w:rPr>
        <w:t xml:space="preserve"> activities without hurting its </w:t>
      </w:r>
      <w:hyperlink r:id="rId31" w:history="1">
        <w:r w:rsidRPr="00024A32">
          <w:rPr>
            <w:rFonts w:ascii="Times New Roman" w:eastAsia="Times New Roman" w:hAnsi="Times New Roman" w:cs="Times New Roman"/>
            <w:color w:val="0000FF"/>
            <w:sz w:val="24"/>
            <w:szCs w:val="24"/>
            <w:u w:val="single"/>
            <w:lang w:eastAsia="en-GB"/>
          </w:rPr>
          <w:t>bottom line</w:t>
        </w:r>
      </w:hyperlink>
      <w:r w:rsidRPr="00024A32">
        <w:rPr>
          <w:rFonts w:ascii="Times New Roman" w:eastAsia="Times New Roman" w:hAnsi="Times New Roman" w:cs="Times New Roman"/>
          <w:sz w:val="24"/>
          <w:szCs w:val="24"/>
          <w:lang w:eastAsia="en-GB"/>
        </w:rPr>
        <w:t>.</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The mark-to-market practice led to schemes that were designed to hide the losses and make the company appear to be more profitable than it really was. To cope with the mounting </w:t>
      </w:r>
      <w:hyperlink r:id="rId32" w:history="1">
        <w:r w:rsidRPr="00024A32">
          <w:rPr>
            <w:rFonts w:ascii="Times New Roman" w:eastAsia="Times New Roman" w:hAnsi="Times New Roman" w:cs="Times New Roman"/>
            <w:color w:val="0000FF"/>
            <w:sz w:val="24"/>
            <w:szCs w:val="24"/>
            <w:u w:val="single"/>
            <w:lang w:eastAsia="en-GB"/>
          </w:rPr>
          <w:t>liabilities</w:t>
        </w:r>
      </w:hyperlink>
      <w:r w:rsidRPr="00024A32">
        <w:rPr>
          <w:rFonts w:ascii="Times New Roman" w:eastAsia="Times New Roman" w:hAnsi="Times New Roman" w:cs="Times New Roman"/>
          <w:sz w:val="24"/>
          <w:szCs w:val="24"/>
          <w:lang w:eastAsia="en-GB"/>
        </w:rPr>
        <w:t xml:space="preserve">, Andrew </w:t>
      </w:r>
      <w:proofErr w:type="spellStart"/>
      <w:r w:rsidRPr="00024A32">
        <w:rPr>
          <w:rFonts w:ascii="Times New Roman" w:eastAsia="Times New Roman" w:hAnsi="Times New Roman" w:cs="Times New Roman"/>
          <w:sz w:val="24"/>
          <w:szCs w:val="24"/>
          <w:lang w:eastAsia="en-GB"/>
        </w:rPr>
        <w:t>Fastow</w:t>
      </w:r>
      <w:proofErr w:type="spellEnd"/>
      <w:r w:rsidRPr="00024A32">
        <w:rPr>
          <w:rFonts w:ascii="Times New Roman" w:eastAsia="Times New Roman" w:hAnsi="Times New Roman" w:cs="Times New Roman"/>
          <w:sz w:val="24"/>
          <w:szCs w:val="24"/>
          <w:lang w:eastAsia="en-GB"/>
        </w:rPr>
        <w:t>, a rising star who was promoted to </w:t>
      </w:r>
      <w:hyperlink r:id="rId33" w:history="1">
        <w:r w:rsidRPr="00024A32">
          <w:rPr>
            <w:rFonts w:ascii="Times New Roman" w:eastAsia="Times New Roman" w:hAnsi="Times New Roman" w:cs="Times New Roman"/>
            <w:color w:val="0000FF"/>
            <w:sz w:val="24"/>
            <w:szCs w:val="24"/>
            <w:u w:val="single"/>
            <w:lang w:eastAsia="en-GB"/>
          </w:rPr>
          <w:t>CFO</w:t>
        </w:r>
      </w:hyperlink>
      <w:r w:rsidRPr="00024A32">
        <w:rPr>
          <w:rFonts w:ascii="Times New Roman" w:eastAsia="Times New Roman" w:hAnsi="Times New Roman" w:cs="Times New Roman"/>
          <w:sz w:val="24"/>
          <w:szCs w:val="24"/>
          <w:lang w:eastAsia="en-GB"/>
        </w:rPr>
        <w:t xml:space="preserve"> in 1998, came up with a deliberate plan to make the company appear to be in sound financial shape, despite the fact </w:t>
      </w:r>
    </w:p>
    <w:p w:rsidR="00024A32" w:rsidRDefault="00024A32" w:rsidP="00024A32">
      <w:pPr>
        <w:shd w:val="clear" w:color="auto" w:fill="FFFFFF"/>
        <w:spacing w:after="0" w:line="240" w:lineRule="auto"/>
        <w:rPr>
          <w:rFonts w:ascii="Times New Roman" w:eastAsia="Times New Roman" w:hAnsi="Times New Roman" w:cs="Times New Roman"/>
          <w:color w:val="000000"/>
          <w:sz w:val="24"/>
          <w:szCs w:val="24"/>
          <w:lang w:eastAsia="en-GB"/>
        </w:rPr>
      </w:pPr>
      <w:r w:rsidRPr="00024A32">
        <w:rPr>
          <w:rFonts w:ascii="Times New Roman" w:eastAsia="Times New Roman" w:hAnsi="Times New Roman" w:cs="Times New Roman"/>
          <w:color w:val="000000"/>
          <w:sz w:val="24"/>
          <w:szCs w:val="24"/>
          <w:lang w:eastAsia="en-GB"/>
        </w:rPr>
        <w:br/>
      </w:r>
      <w:r w:rsidR="005129AD">
        <w:rPr>
          <w:rFonts w:ascii="Times New Roman" w:eastAsia="Times New Roman" w:hAnsi="Times New Roman" w:cs="Times New Roman"/>
          <w:color w:val="000000"/>
          <w:sz w:val="24"/>
          <w:szCs w:val="24"/>
          <w:lang w:eastAsia="en-GB"/>
        </w:rPr>
        <w:t>that many of its subsidiaries were losing money</w:t>
      </w:r>
    </w:p>
    <w:p w:rsidR="003C32CA" w:rsidRDefault="003C32CA" w:rsidP="00024A32">
      <w:pPr>
        <w:shd w:val="clear" w:color="auto" w:fill="FFFFFF"/>
        <w:spacing w:after="0" w:line="240" w:lineRule="auto"/>
        <w:rPr>
          <w:rFonts w:ascii="Times New Roman" w:eastAsia="Times New Roman" w:hAnsi="Times New Roman" w:cs="Times New Roman"/>
          <w:color w:val="000000"/>
          <w:sz w:val="24"/>
          <w:szCs w:val="24"/>
          <w:lang w:eastAsia="en-GB"/>
        </w:rPr>
      </w:pPr>
    </w:p>
    <w:p w:rsidR="003C32CA" w:rsidRDefault="00AF17B2" w:rsidP="003C32CA">
      <w:pPr>
        <w:pStyle w:val="Akapitzlist"/>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 was Enron hi</w:t>
      </w:r>
      <w:r w:rsidR="003C32CA">
        <w:rPr>
          <w:rFonts w:ascii="Times New Roman" w:eastAsia="Times New Roman" w:hAnsi="Times New Roman" w:cs="Times New Roman"/>
          <w:color w:val="000000"/>
          <w:sz w:val="24"/>
          <w:szCs w:val="24"/>
          <w:lang w:eastAsia="en-GB"/>
        </w:rPr>
        <w:t>ding it losses?</w:t>
      </w:r>
    </w:p>
    <w:p w:rsidR="003C32CA" w:rsidRDefault="003C32CA" w:rsidP="003C32CA">
      <w:pPr>
        <w:pStyle w:val="Akapitzlist"/>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What does bottom line mean in this context?</w:t>
      </w:r>
    </w:p>
    <w:p w:rsidR="003C32CA" w:rsidRPr="003C32CA" w:rsidRDefault="003C32CA" w:rsidP="003C32CA">
      <w:pPr>
        <w:pStyle w:val="Akapitzlist"/>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Why was Andrew </w:t>
      </w:r>
      <w:proofErr w:type="spellStart"/>
      <w:r>
        <w:rPr>
          <w:rFonts w:ascii="Times New Roman" w:eastAsia="Times New Roman" w:hAnsi="Times New Roman" w:cs="Times New Roman"/>
          <w:color w:val="000000"/>
          <w:sz w:val="24"/>
          <w:szCs w:val="24"/>
          <w:lang w:eastAsia="en-GB"/>
        </w:rPr>
        <w:t>Fastow</w:t>
      </w:r>
      <w:proofErr w:type="spellEnd"/>
      <w:r>
        <w:rPr>
          <w:rFonts w:ascii="Times New Roman" w:eastAsia="Times New Roman" w:hAnsi="Times New Roman" w:cs="Times New Roman"/>
          <w:color w:val="000000"/>
          <w:sz w:val="24"/>
          <w:szCs w:val="24"/>
          <w:lang w:eastAsia="en-GB"/>
        </w:rPr>
        <w:t xml:space="preserve"> hired?</w:t>
      </w:r>
    </w:p>
    <w:p w:rsidR="005129AD" w:rsidRDefault="005129AD" w:rsidP="00024A32">
      <w:pPr>
        <w:shd w:val="clear" w:color="auto" w:fill="FFFFFF"/>
        <w:spacing w:after="0" w:line="240" w:lineRule="auto"/>
        <w:rPr>
          <w:rFonts w:ascii="Times New Roman" w:eastAsia="Times New Roman" w:hAnsi="Times New Roman" w:cs="Times New Roman"/>
          <w:color w:val="000000"/>
          <w:sz w:val="24"/>
          <w:szCs w:val="24"/>
          <w:lang w:eastAsia="en-GB"/>
        </w:rPr>
      </w:pPr>
    </w:p>
    <w:p w:rsidR="005129AD" w:rsidRDefault="005129AD" w:rsidP="005129AD">
      <w:pPr>
        <w:pStyle w:val="Nagwek2"/>
      </w:pPr>
      <w:r>
        <w:t>Arthur Andersen and Enron: Risky Business</w:t>
      </w:r>
    </w:p>
    <w:p w:rsidR="005129AD" w:rsidRDefault="005129AD" w:rsidP="005129AD">
      <w:pPr>
        <w:pStyle w:val="NormalnyWeb"/>
      </w:pPr>
      <w:r>
        <w:t xml:space="preserve">In addition to Andrew </w:t>
      </w:r>
      <w:proofErr w:type="spellStart"/>
      <w:r>
        <w:t>Fastow</w:t>
      </w:r>
      <w:proofErr w:type="spellEnd"/>
      <w:r>
        <w:t>, a major player in the Enron scandal was Enron's accounting firm Arthur Andersen LLP and partner David B. Duncan, who oversaw Enron's accounts. As one of the five largest accounting firms in the United States at the time, Andersen had a reputation for high standards and quality </w:t>
      </w:r>
      <w:hyperlink r:id="rId34" w:history="1">
        <w:r>
          <w:rPr>
            <w:rStyle w:val="Hipercze"/>
          </w:rPr>
          <w:t>risk management.</w:t>
        </w:r>
      </w:hyperlink>
    </w:p>
    <w:p w:rsidR="005129AD" w:rsidRDefault="005129AD" w:rsidP="005129AD">
      <w:pPr>
        <w:pStyle w:val="NormalnyWeb"/>
      </w:pPr>
      <w:r>
        <w:t xml:space="preserve">However, despite Enron's poor accounting practices, Arthur Andersen offered its stamp of approval, signing off on the corporate reports for years – which was enough for investors and regulators alike. This game couldn't go on forever, however, and by April 2001, many </w:t>
      </w:r>
      <w:hyperlink r:id="rId35" w:history="1">
        <w:r>
          <w:rPr>
            <w:rStyle w:val="Hipercze"/>
          </w:rPr>
          <w:t>analysts</w:t>
        </w:r>
      </w:hyperlink>
      <w:r>
        <w:t xml:space="preserve"> started to question Enron's </w:t>
      </w:r>
      <w:hyperlink r:id="rId36" w:history="1">
        <w:r>
          <w:rPr>
            <w:rStyle w:val="Hipercze"/>
          </w:rPr>
          <w:t>earnings</w:t>
        </w:r>
      </w:hyperlink>
      <w:r>
        <w:t xml:space="preserve"> and their </w:t>
      </w:r>
      <w:hyperlink r:id="rId37" w:history="1">
        <w:r>
          <w:rPr>
            <w:rStyle w:val="Hipercze"/>
          </w:rPr>
          <w:t>transparency</w:t>
        </w:r>
      </w:hyperlink>
      <w:r>
        <w:t>.</w:t>
      </w:r>
    </w:p>
    <w:p w:rsidR="003C32CA" w:rsidRDefault="003C32CA" w:rsidP="005129AD">
      <w:pPr>
        <w:pStyle w:val="NormalnyWeb"/>
      </w:pPr>
      <w:r>
        <w:t>1.What was the role of Arthur Andersen in Enron Scandal?</w:t>
      </w:r>
    </w:p>
    <w:p w:rsidR="005129AD" w:rsidRDefault="005129AD" w:rsidP="005129AD">
      <w:pPr>
        <w:pStyle w:val="Nagwek2"/>
      </w:pPr>
      <w:r>
        <w:t>The Shock Felt Around Wall Street</w:t>
      </w:r>
    </w:p>
    <w:p w:rsidR="005129AD" w:rsidRDefault="005129AD" w:rsidP="005129AD">
      <w:pPr>
        <w:pStyle w:val="NormalnyWeb"/>
      </w:pPr>
      <w:r>
        <w:t xml:space="preserve">By the summer of 2001, Enron was in a free fall. CEO Ken Lay had retired in February, turning over the position to Jeff Skilling; that August, Skilling resigned as CEO for "personal </w:t>
      </w:r>
      <w:r>
        <w:lastRenderedPageBreak/>
        <w:t xml:space="preserve">reasons." Around the same time, analysts began to </w:t>
      </w:r>
      <w:hyperlink r:id="rId38" w:history="1">
        <w:r>
          <w:rPr>
            <w:rStyle w:val="Hipercze"/>
          </w:rPr>
          <w:t>downgrade</w:t>
        </w:r>
      </w:hyperlink>
      <w:r>
        <w:t xml:space="preserve"> their </w:t>
      </w:r>
      <w:hyperlink r:id="rId39" w:history="1">
        <w:r>
          <w:rPr>
            <w:rStyle w:val="Hipercze"/>
          </w:rPr>
          <w:t>rating</w:t>
        </w:r>
      </w:hyperlink>
      <w:r>
        <w:t xml:space="preserve"> for Enron's stock, and the stock descended to a 52-week low of $39.95. By Oct.16, the company reported its first quarterly loss and closed its "Raptor" SPV so that it would not have to distribute 58 million shares of stock, which would further reduce earnings. This action caught the attention of the </w:t>
      </w:r>
      <w:hyperlink r:id="rId40" w:history="1">
        <w:r>
          <w:rPr>
            <w:rStyle w:val="Hipercze"/>
          </w:rPr>
          <w:t>SEC</w:t>
        </w:r>
      </w:hyperlink>
      <w:r>
        <w:t>.</w:t>
      </w:r>
    </w:p>
    <w:p w:rsidR="005129AD" w:rsidRDefault="005129AD" w:rsidP="003C32CA">
      <w:pPr>
        <w:pStyle w:val="NormalnyWeb"/>
      </w:pPr>
      <w:r>
        <w:t xml:space="preserve">A few days later, Enron changed </w:t>
      </w:r>
      <w:hyperlink r:id="rId41" w:history="1">
        <w:r>
          <w:rPr>
            <w:rStyle w:val="Hipercze"/>
          </w:rPr>
          <w:t>pension plan administrators</w:t>
        </w:r>
      </w:hyperlink>
      <w:r>
        <w:t xml:space="preserve">, essentially forbidding employees from selling their shares, for at least 30 days. Shortly after, the SEC announced it was investigating Enron and the SPVs created by </w:t>
      </w:r>
      <w:proofErr w:type="spellStart"/>
      <w:r>
        <w:t>Fastow</w:t>
      </w:r>
      <w:proofErr w:type="spellEnd"/>
      <w:r>
        <w:t xml:space="preserve">. </w:t>
      </w:r>
      <w:proofErr w:type="spellStart"/>
      <w:r>
        <w:t>Fastow</w:t>
      </w:r>
      <w:proofErr w:type="spellEnd"/>
      <w:r>
        <w:t xml:space="preserve"> was fired from the company that day. Also, the company </w:t>
      </w:r>
      <w:hyperlink r:id="rId42" w:history="1">
        <w:r>
          <w:rPr>
            <w:rStyle w:val="Hipercze"/>
          </w:rPr>
          <w:t>restated</w:t>
        </w:r>
      </w:hyperlink>
      <w:r>
        <w:t xml:space="preserve"> earnings going back to 1997. Enron had losses of $591 million and had $628 million in debt by the end of 2000. The final blow was dealt when</w:t>
      </w:r>
      <w:r w:rsidR="003C32CA">
        <w:t xml:space="preserve"> Dynegy </w:t>
      </w:r>
      <w:r>
        <w:t>, a company that had previously announced would merge with the Enron, backed out of the deal on Nov. 28. By Dec. 2, 2001, Enron had filed for bankruptcy.</w:t>
      </w:r>
    </w:p>
    <w:p w:rsidR="003C32CA" w:rsidRDefault="00595202" w:rsidP="003C32CA">
      <w:pPr>
        <w:pStyle w:val="NormalnyWeb"/>
        <w:numPr>
          <w:ilvl w:val="0"/>
          <w:numId w:val="4"/>
        </w:numPr>
      </w:pPr>
      <w:r>
        <w:t>Explain how Enron went bust</w:t>
      </w:r>
      <w:r w:rsidR="003C32CA">
        <w:t xml:space="preserve"> –make a flow chart</w:t>
      </w:r>
    </w:p>
    <w:p w:rsidR="005129AD" w:rsidRDefault="005129AD" w:rsidP="005129AD">
      <w:pPr>
        <w:pStyle w:val="Nagwek2"/>
      </w:pPr>
      <w:r>
        <w:rPr>
          <w:color w:val="000000"/>
        </w:rPr>
        <w:br/>
      </w:r>
      <w:r>
        <w:t>Criminal Charges</w:t>
      </w:r>
    </w:p>
    <w:p w:rsidR="005129AD" w:rsidRDefault="005129AD" w:rsidP="005129AD">
      <w:pPr>
        <w:pStyle w:val="NormalnyWeb"/>
      </w:pPr>
      <w:r>
        <w:t>Arthur Andersen was one of the first casualties of Enron's prolific demise. In June 2002, the firm was found guilty of obstructing justice for shredding Enron's financial documents to conceal them from the SEC. The conviction was overturned later, on appeal; however, the firm was deeply disgraced by the scandal, and dwindled into a holding company. A group of former partners bought the name in 2014, creating a firm named Andersen Global.</w:t>
      </w:r>
    </w:p>
    <w:p w:rsidR="005129AD" w:rsidRDefault="005129AD" w:rsidP="005129AD">
      <w:pPr>
        <w:pStyle w:val="NormalnyWeb"/>
      </w:pPr>
      <w:r>
        <w:t>Several of Enron's execs were charged with a slew of charges, including conspiracy, </w:t>
      </w:r>
      <w:hyperlink r:id="rId43" w:history="1">
        <w:r>
          <w:rPr>
            <w:rStyle w:val="Hipercze"/>
          </w:rPr>
          <w:t>insider trading</w:t>
        </w:r>
      </w:hyperlink>
      <w:r>
        <w:t>, and </w:t>
      </w:r>
      <w:hyperlink r:id="rId44" w:history="1">
        <w:r>
          <w:rPr>
            <w:rStyle w:val="Hipercze"/>
          </w:rPr>
          <w:t>securities fraud</w:t>
        </w:r>
      </w:hyperlink>
      <w:r>
        <w:t>. Enron's founder and former CEO Kenneth Lay was convicted of six counts of fraud and conspiracy and four counts of bank fraud. Prior to sentencing, though, he died of a heart attack in Colorado.</w:t>
      </w:r>
    </w:p>
    <w:p w:rsidR="005129AD" w:rsidRDefault="005129AD" w:rsidP="005129AD">
      <w:pPr>
        <w:pStyle w:val="NormalnyWeb"/>
      </w:pPr>
      <w:r>
        <w:t xml:space="preserve">Enron's former star CFO Andrew </w:t>
      </w:r>
      <w:proofErr w:type="spellStart"/>
      <w:r>
        <w:t>Fastow</w:t>
      </w:r>
      <w:proofErr w:type="spellEnd"/>
      <w:r>
        <w:t xml:space="preserve"> plead guilty to two counts of </w:t>
      </w:r>
      <w:hyperlink r:id="rId45" w:history="1">
        <w:r>
          <w:rPr>
            <w:rStyle w:val="Hipercze"/>
          </w:rPr>
          <w:t>wire fraud</w:t>
        </w:r>
      </w:hyperlink>
      <w:r>
        <w:t> and securities fraud for facilitating Enron's corrupt business practices. He ultimately cut a deal for cooperating with federal authorities and served a four-year sentence, which ended in 2011.</w:t>
      </w:r>
    </w:p>
    <w:p w:rsidR="005129AD" w:rsidRDefault="005129AD" w:rsidP="005129AD">
      <w:r>
        <w:rPr>
          <w:color w:val="000000"/>
        </w:rPr>
        <w:br/>
      </w:r>
      <w:r>
        <w:t xml:space="preserve">Ultimately, though, former Enron CEO Jeffrey Skilling received the harshest sentence of anyone involved in the Enron scandal. In 2006, Skilling was convicted of conspiracy, </w:t>
      </w:r>
      <w:hyperlink r:id="rId46" w:history="1">
        <w:r>
          <w:rPr>
            <w:rStyle w:val="Hipercze"/>
          </w:rPr>
          <w:t>fraud</w:t>
        </w:r>
      </w:hyperlink>
      <w:r>
        <w:t>, and insider trading. Skilling originally received a 24-year sentence, but in 2013 it was reduced by 10 years. As a part of the new deal, Skilling was required to give $42 million to the victims of the Enron fraud and to cease challenging his conviction. Skilling remains in prison and is scheduled for release on Feb. 21, 2028.</w:t>
      </w:r>
    </w:p>
    <w:p w:rsidR="00595202" w:rsidRDefault="00595202" w:rsidP="00595202">
      <w:pPr>
        <w:pStyle w:val="Akapitzlist"/>
        <w:numPr>
          <w:ilvl w:val="0"/>
          <w:numId w:val="5"/>
        </w:numPr>
      </w:pPr>
      <w:r>
        <w:t xml:space="preserve">What were the charges against </w:t>
      </w:r>
      <w:proofErr w:type="spellStart"/>
      <w:r>
        <w:t>Arthus</w:t>
      </w:r>
      <w:proofErr w:type="spellEnd"/>
      <w:r>
        <w:t xml:space="preserve"> Andersen?</w:t>
      </w:r>
    </w:p>
    <w:p w:rsidR="00595202" w:rsidRDefault="00595202" w:rsidP="00595202">
      <w:pPr>
        <w:pStyle w:val="Akapitzlist"/>
        <w:numPr>
          <w:ilvl w:val="0"/>
          <w:numId w:val="5"/>
        </w:numPr>
      </w:pPr>
      <w:r>
        <w:t>What is conspiracy, insider trading  securities fraud and wire fraud?</w:t>
      </w:r>
    </w:p>
    <w:p w:rsidR="00AF17B2" w:rsidRDefault="00AF17B2" w:rsidP="00595202">
      <w:pPr>
        <w:pStyle w:val="Akapitzlist"/>
        <w:numPr>
          <w:ilvl w:val="0"/>
          <w:numId w:val="5"/>
        </w:numPr>
      </w:pPr>
      <w:r>
        <w:t>Do you agree with verdict?</w:t>
      </w:r>
    </w:p>
    <w:p w:rsidR="005129AD" w:rsidRDefault="005129AD" w:rsidP="005129AD">
      <w:pPr>
        <w:shd w:val="clear" w:color="auto" w:fill="FFFFFF"/>
        <w:rPr>
          <w:color w:val="000000"/>
        </w:rPr>
      </w:pPr>
      <w:r>
        <w:rPr>
          <w:color w:val="000000"/>
        </w:rPr>
        <w:br/>
      </w:r>
    </w:p>
    <w:p w:rsidR="005129AD" w:rsidRPr="00024A32" w:rsidRDefault="005129AD" w:rsidP="005129AD">
      <w:pPr>
        <w:shd w:val="clear" w:color="auto" w:fill="FFFFFF"/>
        <w:rPr>
          <w:rFonts w:ascii="Times New Roman" w:eastAsia="Times New Roman" w:hAnsi="Times New Roman" w:cs="Times New Roman"/>
          <w:color w:val="000000"/>
          <w:sz w:val="24"/>
          <w:szCs w:val="24"/>
          <w:lang w:eastAsia="en-GB"/>
        </w:rPr>
      </w:pPr>
    </w:p>
    <w:p w:rsidR="002F54C7" w:rsidRDefault="0032283E"/>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9D"/>
    <w:multiLevelType w:val="hybridMultilevel"/>
    <w:tmpl w:val="9BDE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43614"/>
    <w:multiLevelType w:val="hybridMultilevel"/>
    <w:tmpl w:val="3200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B312A"/>
    <w:multiLevelType w:val="hybridMultilevel"/>
    <w:tmpl w:val="2688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404BDC"/>
    <w:multiLevelType w:val="hybridMultilevel"/>
    <w:tmpl w:val="5590E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F6B0E"/>
    <w:multiLevelType w:val="hybridMultilevel"/>
    <w:tmpl w:val="F126E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32"/>
    <w:rsid w:val="00024A32"/>
    <w:rsid w:val="0032283E"/>
    <w:rsid w:val="003C32CA"/>
    <w:rsid w:val="003D32C7"/>
    <w:rsid w:val="005129AD"/>
    <w:rsid w:val="00595202"/>
    <w:rsid w:val="00702F2C"/>
    <w:rsid w:val="00AF17B2"/>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12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24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4A32"/>
    <w:rPr>
      <w:rFonts w:ascii="Times New Roman" w:eastAsia="Times New Roman" w:hAnsi="Times New Roman" w:cs="Times New Roman"/>
      <w:b/>
      <w:bCs/>
      <w:sz w:val="36"/>
      <w:szCs w:val="36"/>
      <w:lang w:eastAsia="en-GB"/>
    </w:rPr>
  </w:style>
  <w:style w:type="paragraph" w:styleId="NormalnyWeb">
    <w:name w:val="Normal (Web)"/>
    <w:basedOn w:val="Normalny"/>
    <w:uiPriority w:val="99"/>
    <w:unhideWhenUsed/>
    <w:rsid w:val="00024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024A32"/>
    <w:rPr>
      <w:color w:val="0000FF"/>
      <w:u w:val="single"/>
    </w:rPr>
  </w:style>
  <w:style w:type="character" w:styleId="Uwydatnienie">
    <w:name w:val="Emphasis"/>
    <w:basedOn w:val="Domylnaczcionkaakapitu"/>
    <w:uiPriority w:val="20"/>
    <w:qFormat/>
    <w:rsid w:val="00024A32"/>
    <w:rPr>
      <w:i/>
      <w:iCs/>
    </w:rPr>
  </w:style>
  <w:style w:type="paragraph" w:styleId="Tekstdymka">
    <w:name w:val="Balloon Text"/>
    <w:basedOn w:val="Normalny"/>
    <w:link w:val="TekstdymkaZnak"/>
    <w:uiPriority w:val="99"/>
    <w:semiHidden/>
    <w:unhideWhenUsed/>
    <w:rsid w:val="00024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A32"/>
    <w:rPr>
      <w:rFonts w:ascii="Tahoma" w:hAnsi="Tahoma" w:cs="Tahoma"/>
      <w:sz w:val="16"/>
      <w:szCs w:val="16"/>
    </w:rPr>
  </w:style>
  <w:style w:type="character" w:customStyle="1" w:styleId="Nagwek1Znak">
    <w:name w:val="Nagłówek 1 Znak"/>
    <w:basedOn w:val="Domylnaczcionkaakapitu"/>
    <w:link w:val="Nagwek1"/>
    <w:uiPriority w:val="9"/>
    <w:rsid w:val="005129AD"/>
    <w:rPr>
      <w:rFonts w:asciiTheme="majorHAnsi" w:eastAsiaTheme="majorEastAsia" w:hAnsiTheme="majorHAnsi" w:cstheme="majorBidi"/>
      <w:b/>
      <w:bCs/>
      <w:color w:val="365F91" w:themeColor="accent1" w:themeShade="BF"/>
      <w:sz w:val="28"/>
      <w:szCs w:val="28"/>
    </w:rPr>
  </w:style>
  <w:style w:type="character" w:customStyle="1" w:styleId="by-author">
    <w:name w:val="by-author"/>
    <w:basedOn w:val="Domylnaczcionkaakapitu"/>
    <w:rsid w:val="005129AD"/>
  </w:style>
  <w:style w:type="paragraph" w:styleId="Akapitzlist">
    <w:name w:val="List Paragraph"/>
    <w:basedOn w:val="Normalny"/>
    <w:uiPriority w:val="34"/>
    <w:qFormat/>
    <w:rsid w:val="00702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12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24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4A32"/>
    <w:rPr>
      <w:rFonts w:ascii="Times New Roman" w:eastAsia="Times New Roman" w:hAnsi="Times New Roman" w:cs="Times New Roman"/>
      <w:b/>
      <w:bCs/>
      <w:sz w:val="36"/>
      <w:szCs w:val="36"/>
      <w:lang w:eastAsia="en-GB"/>
    </w:rPr>
  </w:style>
  <w:style w:type="paragraph" w:styleId="NormalnyWeb">
    <w:name w:val="Normal (Web)"/>
    <w:basedOn w:val="Normalny"/>
    <w:uiPriority w:val="99"/>
    <w:unhideWhenUsed/>
    <w:rsid w:val="00024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024A32"/>
    <w:rPr>
      <w:color w:val="0000FF"/>
      <w:u w:val="single"/>
    </w:rPr>
  </w:style>
  <w:style w:type="character" w:styleId="Uwydatnienie">
    <w:name w:val="Emphasis"/>
    <w:basedOn w:val="Domylnaczcionkaakapitu"/>
    <w:uiPriority w:val="20"/>
    <w:qFormat/>
    <w:rsid w:val="00024A32"/>
    <w:rPr>
      <w:i/>
      <w:iCs/>
    </w:rPr>
  </w:style>
  <w:style w:type="paragraph" w:styleId="Tekstdymka">
    <w:name w:val="Balloon Text"/>
    <w:basedOn w:val="Normalny"/>
    <w:link w:val="TekstdymkaZnak"/>
    <w:uiPriority w:val="99"/>
    <w:semiHidden/>
    <w:unhideWhenUsed/>
    <w:rsid w:val="00024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A32"/>
    <w:rPr>
      <w:rFonts w:ascii="Tahoma" w:hAnsi="Tahoma" w:cs="Tahoma"/>
      <w:sz w:val="16"/>
      <w:szCs w:val="16"/>
    </w:rPr>
  </w:style>
  <w:style w:type="character" w:customStyle="1" w:styleId="Nagwek1Znak">
    <w:name w:val="Nagłówek 1 Znak"/>
    <w:basedOn w:val="Domylnaczcionkaakapitu"/>
    <w:link w:val="Nagwek1"/>
    <w:uiPriority w:val="9"/>
    <w:rsid w:val="005129AD"/>
    <w:rPr>
      <w:rFonts w:asciiTheme="majorHAnsi" w:eastAsiaTheme="majorEastAsia" w:hAnsiTheme="majorHAnsi" w:cstheme="majorBidi"/>
      <w:b/>
      <w:bCs/>
      <w:color w:val="365F91" w:themeColor="accent1" w:themeShade="BF"/>
      <w:sz w:val="28"/>
      <w:szCs w:val="28"/>
    </w:rPr>
  </w:style>
  <w:style w:type="character" w:customStyle="1" w:styleId="by-author">
    <w:name w:val="by-author"/>
    <w:basedOn w:val="Domylnaczcionkaakapitu"/>
    <w:rsid w:val="005129AD"/>
  </w:style>
  <w:style w:type="paragraph" w:styleId="Akapitzlist">
    <w:name w:val="List Paragraph"/>
    <w:basedOn w:val="Normalny"/>
    <w:uiPriority w:val="34"/>
    <w:qFormat/>
    <w:rsid w:val="00702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810">
      <w:bodyDiv w:val="1"/>
      <w:marLeft w:val="0"/>
      <w:marRight w:val="0"/>
      <w:marTop w:val="0"/>
      <w:marBottom w:val="0"/>
      <w:divBdr>
        <w:top w:val="none" w:sz="0" w:space="0" w:color="auto"/>
        <w:left w:val="none" w:sz="0" w:space="0" w:color="auto"/>
        <w:bottom w:val="none" w:sz="0" w:space="0" w:color="auto"/>
        <w:right w:val="none" w:sz="0" w:space="0" w:color="auto"/>
      </w:divBdr>
    </w:div>
    <w:div w:id="818424079">
      <w:bodyDiv w:val="1"/>
      <w:marLeft w:val="0"/>
      <w:marRight w:val="0"/>
      <w:marTop w:val="0"/>
      <w:marBottom w:val="0"/>
      <w:divBdr>
        <w:top w:val="none" w:sz="0" w:space="0" w:color="auto"/>
        <w:left w:val="none" w:sz="0" w:space="0" w:color="auto"/>
        <w:bottom w:val="none" w:sz="0" w:space="0" w:color="auto"/>
        <w:right w:val="none" w:sz="0" w:space="0" w:color="auto"/>
      </w:divBdr>
    </w:div>
    <w:div w:id="827017135">
      <w:bodyDiv w:val="1"/>
      <w:marLeft w:val="0"/>
      <w:marRight w:val="0"/>
      <w:marTop w:val="0"/>
      <w:marBottom w:val="0"/>
      <w:divBdr>
        <w:top w:val="none" w:sz="0" w:space="0" w:color="auto"/>
        <w:left w:val="none" w:sz="0" w:space="0" w:color="auto"/>
        <w:bottom w:val="none" w:sz="0" w:space="0" w:color="auto"/>
        <w:right w:val="none" w:sz="0" w:space="0" w:color="auto"/>
      </w:divBdr>
    </w:div>
    <w:div w:id="940451515">
      <w:bodyDiv w:val="1"/>
      <w:marLeft w:val="0"/>
      <w:marRight w:val="0"/>
      <w:marTop w:val="0"/>
      <w:marBottom w:val="0"/>
      <w:divBdr>
        <w:top w:val="none" w:sz="0" w:space="0" w:color="auto"/>
        <w:left w:val="none" w:sz="0" w:space="0" w:color="auto"/>
        <w:bottom w:val="none" w:sz="0" w:space="0" w:color="auto"/>
        <w:right w:val="none" w:sz="0" w:space="0" w:color="auto"/>
      </w:divBdr>
      <w:divsChild>
        <w:div w:id="1507206134">
          <w:marLeft w:val="0"/>
          <w:marRight w:val="0"/>
          <w:marTop w:val="0"/>
          <w:marBottom w:val="0"/>
          <w:divBdr>
            <w:top w:val="none" w:sz="0" w:space="0" w:color="auto"/>
            <w:left w:val="none" w:sz="0" w:space="0" w:color="auto"/>
            <w:bottom w:val="none" w:sz="0" w:space="0" w:color="auto"/>
            <w:right w:val="none" w:sz="0" w:space="0" w:color="auto"/>
          </w:divBdr>
        </w:div>
      </w:divsChild>
    </w:div>
    <w:div w:id="1621841823">
      <w:bodyDiv w:val="1"/>
      <w:marLeft w:val="0"/>
      <w:marRight w:val="0"/>
      <w:marTop w:val="0"/>
      <w:marBottom w:val="0"/>
      <w:divBdr>
        <w:top w:val="none" w:sz="0" w:space="0" w:color="auto"/>
        <w:left w:val="none" w:sz="0" w:space="0" w:color="auto"/>
        <w:bottom w:val="none" w:sz="0" w:space="0" w:color="auto"/>
        <w:right w:val="none" w:sz="0" w:space="0" w:color="auto"/>
      </w:divBdr>
    </w:div>
    <w:div w:id="18246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w/wallstreet.asp" TargetMode="External"/><Relationship Id="rId13" Type="http://schemas.openxmlformats.org/officeDocument/2006/relationships/hyperlink" Target="https://www.investopedia.com/terms/d/dotcom-bubble.asp" TargetMode="External"/><Relationship Id="rId18" Type="http://schemas.openxmlformats.org/officeDocument/2006/relationships/hyperlink" Target="https://www.investopedia.com/terms/s/seller.asp" TargetMode="External"/><Relationship Id="rId26" Type="http://schemas.openxmlformats.org/officeDocument/2006/relationships/hyperlink" Target="https://www.investopedia.com/terms/c/cmv.asp" TargetMode="External"/><Relationship Id="rId39" Type="http://schemas.openxmlformats.org/officeDocument/2006/relationships/hyperlink" Target="https://www.investopedia.com/terms/r/rating.asp" TargetMode="External"/><Relationship Id="rId3" Type="http://schemas.microsoft.com/office/2007/relationships/stylesWithEffects" Target="stylesWithEffects.xml"/><Relationship Id="rId21" Type="http://schemas.openxmlformats.org/officeDocument/2006/relationships/hyperlink" Target="https://www.investopedia.com/terms/i/investor.asp" TargetMode="External"/><Relationship Id="rId34" Type="http://schemas.openxmlformats.org/officeDocument/2006/relationships/hyperlink" Target="https://www.investopedia.com/terms/r/riskmanagement.asp" TargetMode="External"/><Relationship Id="rId42" Type="http://schemas.openxmlformats.org/officeDocument/2006/relationships/hyperlink" Target="https://www.investopedia.com/terms/r/restatement.asp" TargetMode="External"/><Relationship Id="rId47" Type="http://schemas.openxmlformats.org/officeDocument/2006/relationships/fontTable" Target="fontTable.xml"/><Relationship Id="rId7" Type="http://schemas.openxmlformats.org/officeDocument/2006/relationships/hyperlink" Target="https://www.investopedia.com/terms/e/enron.asp" TargetMode="External"/><Relationship Id="rId12" Type="http://schemas.openxmlformats.org/officeDocument/2006/relationships/hyperlink" Target="https://www.investopedia.com/terms/d/deregulate.asp" TargetMode="External"/><Relationship Id="rId17" Type="http://schemas.openxmlformats.org/officeDocument/2006/relationships/hyperlink" Target="https://www.investopedia.com/terms/c/counterparty.asp" TargetMode="External"/><Relationship Id="rId25" Type="http://schemas.openxmlformats.org/officeDocument/2006/relationships/hyperlink" Target="https://www.investopedia.com/terms/s/security.asp" TargetMode="External"/><Relationship Id="rId33" Type="http://schemas.openxmlformats.org/officeDocument/2006/relationships/hyperlink" Target="https://www.investopedia.com/terms/c/cfo.asp" TargetMode="External"/><Relationship Id="rId38" Type="http://schemas.openxmlformats.org/officeDocument/2006/relationships/hyperlink" Target="https://www.investopedia.com/terms/d/downgrade.asp" TargetMode="External"/><Relationship Id="rId46" Type="http://schemas.openxmlformats.org/officeDocument/2006/relationships/hyperlink" Target="https://www.investopedia.com/terms/f/fraud.asp" TargetMode="External"/><Relationship Id="rId2" Type="http://schemas.openxmlformats.org/officeDocument/2006/relationships/styles" Target="styles.xml"/><Relationship Id="rId16" Type="http://schemas.openxmlformats.org/officeDocument/2006/relationships/hyperlink" Target="https://www.investopedia.com/terms/o/onlinetrading.asp" TargetMode="External"/><Relationship Id="rId20" Type="http://schemas.openxmlformats.org/officeDocument/2006/relationships/hyperlink" Target="https://www.investopedia.com/terms/r/recession.asp" TargetMode="External"/><Relationship Id="rId29" Type="http://schemas.openxmlformats.org/officeDocument/2006/relationships/hyperlink" Target="https://www.investopedia.com/terms/p/profit.asp" TargetMode="External"/><Relationship Id="rId41" Type="http://schemas.openxmlformats.org/officeDocument/2006/relationships/hyperlink" Target="https://www.investopedia.com/terms/p/plan_administrator.asp" TargetMode="External"/><Relationship Id="rId1" Type="http://schemas.openxmlformats.org/officeDocument/2006/relationships/numbering" Target="numbering.xml"/><Relationship Id="rId6" Type="http://schemas.openxmlformats.org/officeDocument/2006/relationships/hyperlink" Target="https://www.investopedia.com/contributors/0/" TargetMode="External"/><Relationship Id="rId11" Type="http://schemas.openxmlformats.org/officeDocument/2006/relationships/hyperlink" Target="https://www.investopedia.com/terms/c/ceo.asp" TargetMode="External"/><Relationship Id="rId24" Type="http://schemas.openxmlformats.org/officeDocument/2006/relationships/hyperlink" Target="https://www.investopedia.com/terms/m/marktomarket.asp" TargetMode="External"/><Relationship Id="rId32" Type="http://schemas.openxmlformats.org/officeDocument/2006/relationships/hyperlink" Target="https://www.investopedia.com/terms/l/liability.asp" TargetMode="External"/><Relationship Id="rId37" Type="http://schemas.openxmlformats.org/officeDocument/2006/relationships/hyperlink" Target="https://www.investopedia.com/terms/t/transparency.asp" TargetMode="External"/><Relationship Id="rId40" Type="http://schemas.openxmlformats.org/officeDocument/2006/relationships/hyperlink" Target="https://www.investopedia.com/terms/s/sec.asp" TargetMode="External"/><Relationship Id="rId45" Type="http://schemas.openxmlformats.org/officeDocument/2006/relationships/hyperlink" Target="https://www.investopedia.com/terms/w/wirefraud.asp" TargetMode="External"/><Relationship Id="rId5" Type="http://schemas.openxmlformats.org/officeDocument/2006/relationships/webSettings" Target="webSettings.xml"/><Relationship Id="rId15" Type="http://schemas.openxmlformats.org/officeDocument/2006/relationships/hyperlink" Target="https://www.investopedia.com/terms/s/stock.asp" TargetMode="External"/><Relationship Id="rId23" Type="http://schemas.openxmlformats.org/officeDocument/2006/relationships/hyperlink" Target="https://www.investopedia.com/terms/m/marketcapitalization.asp" TargetMode="External"/><Relationship Id="rId28" Type="http://schemas.openxmlformats.org/officeDocument/2006/relationships/hyperlink" Target="https://www.investopedia.com/terms/a/asset.asp" TargetMode="External"/><Relationship Id="rId36" Type="http://schemas.openxmlformats.org/officeDocument/2006/relationships/hyperlink" Target="https://www.investopedia.com/terms/e/earnings.asp" TargetMode="External"/><Relationship Id="rId10" Type="http://schemas.openxmlformats.org/officeDocument/2006/relationships/hyperlink" Target="https://www.investopedia.com/terms/b/business.asp" TargetMode="External"/><Relationship Id="rId19" Type="http://schemas.openxmlformats.org/officeDocument/2006/relationships/hyperlink" Target="https://www.investopedia.com/terms/r/return.asp" TargetMode="External"/><Relationship Id="rId31" Type="http://schemas.openxmlformats.org/officeDocument/2006/relationships/hyperlink" Target="https://www.investopedia.com/terms/b/bottomline.asp" TargetMode="External"/><Relationship Id="rId44" Type="http://schemas.openxmlformats.org/officeDocument/2006/relationships/hyperlink" Target="https://www.investopedia.com/terms/s/securities-fraud.asp" TargetMode="External"/><Relationship Id="rId4" Type="http://schemas.openxmlformats.org/officeDocument/2006/relationships/settings" Target="settings.xml"/><Relationship Id="rId9" Type="http://schemas.openxmlformats.org/officeDocument/2006/relationships/hyperlink" Target="https://www.investopedia.com/terms/b/bankruptcy.asp" TargetMode="External"/><Relationship Id="rId14" Type="http://schemas.openxmlformats.org/officeDocument/2006/relationships/hyperlink" Target="https://www.investopedia.com/terms/n/nasdaq.asp" TargetMode="External"/><Relationship Id="rId22" Type="http://schemas.openxmlformats.org/officeDocument/2006/relationships/hyperlink" Target="https://www.investopedia.com/terms/c/creditor.asp" TargetMode="External"/><Relationship Id="rId27" Type="http://schemas.openxmlformats.org/officeDocument/2006/relationships/hyperlink" Target="https://www.investopedia.com/terms/b/bookvalue.asp" TargetMode="External"/><Relationship Id="rId30" Type="http://schemas.openxmlformats.org/officeDocument/2006/relationships/hyperlink" Target="https://www.investopedia.com/terms/r/revenue.asp" TargetMode="External"/><Relationship Id="rId35" Type="http://schemas.openxmlformats.org/officeDocument/2006/relationships/hyperlink" Target="https://www.investopedia.com/terms/a/analyst.asp" TargetMode="External"/><Relationship Id="rId43" Type="http://schemas.openxmlformats.org/officeDocument/2006/relationships/hyperlink" Target="https://www.investopedia.com/terms/i/insidertrading.asp"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cp:lastPrinted>2018-03-11T10:23:00Z</cp:lastPrinted>
  <dcterms:created xsi:type="dcterms:W3CDTF">2018-03-11T11:46:00Z</dcterms:created>
  <dcterms:modified xsi:type="dcterms:W3CDTF">2018-03-11T11:46:00Z</dcterms:modified>
</cp:coreProperties>
</file>